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18644F"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55181F" w:rsidRDefault="0055181F" w:rsidP="00274430">
      <w:pPr>
        <w:bidi w:val="0"/>
        <w:spacing w:beforeLines="50"/>
        <w:jc w:val="center"/>
        <w:rPr>
          <w:rFonts w:ascii="SimSun" w:hAnsi="SimSun" w:cs="SimSun"/>
          <w:b/>
          <w:bCs/>
          <w:color w:val="1F497D" w:themeColor="text2"/>
          <w:sz w:val="48"/>
          <w:szCs w:val="48"/>
          <w:lang w:eastAsia="zh-CN"/>
        </w:rPr>
      </w:pPr>
      <w:r w:rsidRPr="0055181F">
        <w:rPr>
          <w:rFonts w:ascii="SimSun" w:hAnsi="SimSun" w:cs="SimSun" w:hint="eastAsia"/>
          <w:b/>
          <w:bCs/>
          <w:color w:val="1F497D" w:themeColor="text2"/>
          <w:sz w:val="48"/>
          <w:szCs w:val="48"/>
          <w:lang w:eastAsia="zh-CN"/>
        </w:rPr>
        <w:t>离婚的女人什么时候可以获得孩子的抚养权？</w:t>
      </w:r>
    </w:p>
    <w:p w:rsidR="00EB6455" w:rsidRDefault="00EB6455" w:rsidP="0055181F">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55181F" w:rsidRPr="0055181F" w:rsidRDefault="0055181F" w:rsidP="0055181F">
      <w:pPr>
        <w:spacing w:after="65"/>
        <w:jc w:val="center"/>
        <w:outlineLvl w:val="3"/>
        <w:rPr>
          <w:rFonts w:ascii="Helvetica" w:eastAsia="Times New Roman" w:hAnsi="Helvetica" w:cs="Times New Roman"/>
          <w:b/>
          <w:bCs/>
          <w:color w:val="1F497D" w:themeColor="text2"/>
          <w:sz w:val="48"/>
          <w:szCs w:val="48"/>
        </w:rPr>
      </w:pPr>
      <w:r w:rsidRPr="0055181F">
        <w:rPr>
          <w:rFonts w:ascii="Helvetica" w:eastAsia="Times New Roman" w:hAnsi="Helvetica" w:cs="Times New Roman"/>
          <w:b/>
          <w:bCs/>
          <w:color w:val="1F497D" w:themeColor="text2"/>
          <w:sz w:val="48"/>
          <w:szCs w:val="48"/>
          <w:rtl/>
        </w:rPr>
        <w:t>متى يمكن للمطلقة حضانة ولدها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C6941">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C6941">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55181F" w:rsidRPr="0055181F" w:rsidRDefault="0055181F" w:rsidP="0055181F">
      <w:pPr>
        <w:shd w:val="clear" w:color="auto" w:fill="FFFFFF"/>
        <w:bidi w:val="0"/>
        <w:spacing w:after="65"/>
        <w:jc w:val="center"/>
        <w:outlineLvl w:val="3"/>
        <w:rPr>
          <w:rFonts w:asciiTheme="minorEastAsia" w:eastAsiaTheme="minorEastAsia" w:hAnsiTheme="minorEastAsia" w:cs="Tahoma"/>
          <w:b/>
          <w:bCs/>
          <w:color w:val="auto"/>
          <w:sz w:val="32"/>
          <w:szCs w:val="32"/>
          <w:lang w:eastAsia="zh-CN"/>
        </w:rPr>
      </w:pPr>
      <w:r w:rsidRPr="0055181F">
        <w:rPr>
          <w:rFonts w:asciiTheme="minorEastAsia" w:eastAsiaTheme="minorEastAsia" w:hAnsiTheme="minorEastAsia" w:cs="SimSun" w:hint="eastAsia"/>
          <w:b/>
          <w:bCs/>
          <w:color w:val="auto"/>
          <w:sz w:val="32"/>
          <w:szCs w:val="32"/>
          <w:lang w:eastAsia="zh-CN"/>
        </w:rPr>
        <w:t>离婚的女人什么时候可以获得孩子的抚养权</w:t>
      </w:r>
      <w:r w:rsidRPr="0055181F">
        <w:rPr>
          <w:rFonts w:asciiTheme="minorEastAsia" w:eastAsiaTheme="minorEastAsia" w:hAnsiTheme="minorEastAsia" w:cs="SimSun"/>
          <w:b/>
          <w:bCs/>
          <w:color w:val="auto"/>
          <w:sz w:val="32"/>
          <w:szCs w:val="32"/>
          <w:lang w:eastAsia="zh-CN"/>
        </w:rPr>
        <w:t>？</w:t>
      </w:r>
    </w:p>
    <w:p w:rsidR="0055181F" w:rsidRPr="0055181F" w:rsidRDefault="0055181F" w:rsidP="0055181F">
      <w:pPr>
        <w:shd w:val="clear" w:color="auto" w:fill="FFFFFF"/>
        <w:bidi w:val="0"/>
        <w:spacing w:before="262" w:after="262" w:line="262" w:lineRule="atLeast"/>
        <w:jc w:val="both"/>
        <w:rPr>
          <w:rFonts w:asciiTheme="minorEastAsia" w:eastAsiaTheme="minorEastAsia" w:hAnsiTheme="minorEastAsia" w:cs="Tahoma"/>
          <w:color w:val="auto"/>
          <w:sz w:val="32"/>
          <w:szCs w:val="32"/>
        </w:rPr>
      </w:pPr>
    </w:p>
    <w:p w:rsidR="0055181F" w:rsidRDefault="0055181F" w:rsidP="0055181F">
      <w:pPr>
        <w:shd w:val="clear" w:color="auto" w:fill="FFFFFF"/>
        <w:bidi w:val="0"/>
        <w:spacing w:line="480" w:lineRule="auto"/>
        <w:jc w:val="both"/>
        <w:rPr>
          <w:rFonts w:asciiTheme="minorEastAsia" w:eastAsiaTheme="minorEastAsia" w:hAnsiTheme="minorEastAsia" w:cs="Microsoft YaHei"/>
          <w:b/>
          <w:bCs/>
          <w:color w:val="C00000"/>
          <w:sz w:val="32"/>
          <w:szCs w:val="32"/>
          <w:lang w:eastAsia="zh-CN"/>
        </w:rPr>
      </w:pPr>
      <w:r>
        <w:rPr>
          <w:rFonts w:asciiTheme="minorEastAsia" w:eastAsiaTheme="minorEastAsia" w:hAnsiTheme="minorEastAsia" w:cs="Microsoft YaHei" w:hint="eastAsia"/>
          <w:b/>
          <w:bCs/>
          <w:color w:val="C00000"/>
          <w:sz w:val="32"/>
          <w:szCs w:val="32"/>
          <w:lang w:eastAsia="zh-CN"/>
        </w:rPr>
        <w:t>问：</w:t>
      </w:r>
      <w:r w:rsidRPr="0055181F">
        <w:rPr>
          <w:rFonts w:asciiTheme="minorEastAsia" w:eastAsiaTheme="minorEastAsia" w:hAnsiTheme="minorEastAsia" w:cs="Microsoft YaHei" w:hint="eastAsia"/>
          <w:b/>
          <w:bCs/>
          <w:color w:val="C00000"/>
          <w:sz w:val="32"/>
          <w:szCs w:val="32"/>
          <w:lang w:eastAsia="zh-CN"/>
        </w:rPr>
        <w:t>我有一个离婚的女友，她与前夫生了两个孩子，他俩的</w:t>
      </w:r>
      <w:r>
        <w:rPr>
          <w:rFonts w:asciiTheme="minorEastAsia" w:eastAsiaTheme="minorEastAsia" w:hAnsiTheme="minorEastAsia" w:cs="Microsoft YaHei" w:hint="eastAsia"/>
          <w:b/>
          <w:bCs/>
          <w:color w:val="C00000"/>
          <w:sz w:val="32"/>
          <w:szCs w:val="32"/>
          <w:lang w:eastAsia="zh-CN"/>
        </w:rPr>
        <w:t xml:space="preserve">  </w:t>
      </w:r>
    </w:p>
    <w:p w:rsidR="0055181F" w:rsidRDefault="0055181F" w:rsidP="0055181F">
      <w:pPr>
        <w:shd w:val="clear" w:color="auto" w:fill="FFFFFF"/>
        <w:bidi w:val="0"/>
        <w:spacing w:line="480" w:lineRule="auto"/>
        <w:ind w:firstLine="648"/>
        <w:jc w:val="both"/>
        <w:rPr>
          <w:rFonts w:asciiTheme="minorEastAsia" w:eastAsiaTheme="minorEastAsia" w:hAnsiTheme="minorEastAsia" w:cs="Microsoft YaHei"/>
          <w:b/>
          <w:bCs/>
          <w:color w:val="C00000"/>
          <w:sz w:val="32"/>
          <w:szCs w:val="32"/>
          <w:lang w:eastAsia="zh-CN"/>
        </w:rPr>
      </w:pPr>
      <w:r w:rsidRPr="0055181F">
        <w:rPr>
          <w:rFonts w:asciiTheme="minorEastAsia" w:eastAsiaTheme="minorEastAsia" w:hAnsiTheme="minorEastAsia" w:cs="Microsoft YaHei" w:hint="eastAsia"/>
          <w:b/>
          <w:bCs/>
          <w:color w:val="C00000"/>
          <w:sz w:val="32"/>
          <w:szCs w:val="32"/>
          <w:lang w:eastAsia="zh-CN"/>
        </w:rPr>
        <w:t>年龄都不到七岁；我们听说孩子的母亲如果再婚，那么，</w:t>
      </w:r>
    </w:p>
    <w:p w:rsidR="0055181F" w:rsidRDefault="0055181F" w:rsidP="0055181F">
      <w:pPr>
        <w:shd w:val="clear" w:color="auto" w:fill="FFFFFF"/>
        <w:bidi w:val="0"/>
        <w:spacing w:line="480" w:lineRule="auto"/>
        <w:ind w:firstLine="648"/>
        <w:jc w:val="both"/>
        <w:rPr>
          <w:rFonts w:asciiTheme="minorEastAsia" w:eastAsiaTheme="minorEastAsia" w:hAnsiTheme="minorEastAsia" w:cs="Microsoft YaHei"/>
          <w:b/>
          <w:bCs/>
          <w:color w:val="C00000"/>
          <w:sz w:val="32"/>
          <w:szCs w:val="32"/>
          <w:lang w:eastAsia="zh-CN"/>
        </w:rPr>
      </w:pPr>
      <w:r w:rsidRPr="0055181F">
        <w:rPr>
          <w:rFonts w:asciiTheme="minorEastAsia" w:eastAsiaTheme="minorEastAsia" w:hAnsiTheme="minorEastAsia" w:cs="Microsoft YaHei" w:hint="eastAsia"/>
          <w:b/>
          <w:bCs/>
          <w:color w:val="C00000"/>
          <w:sz w:val="32"/>
          <w:szCs w:val="32"/>
          <w:lang w:eastAsia="zh-CN"/>
        </w:rPr>
        <w:t>孩子的生父可以获得孩子的抚养权；哪怕母亲再婚，她</w:t>
      </w:r>
    </w:p>
    <w:p w:rsidR="0055181F" w:rsidRPr="0055181F" w:rsidRDefault="0055181F" w:rsidP="0055181F">
      <w:pPr>
        <w:shd w:val="clear" w:color="auto" w:fill="FFFFFF"/>
        <w:bidi w:val="0"/>
        <w:spacing w:line="480" w:lineRule="auto"/>
        <w:ind w:firstLine="648"/>
        <w:jc w:val="both"/>
        <w:rPr>
          <w:rFonts w:asciiTheme="minorEastAsia" w:eastAsiaTheme="minorEastAsia" w:hAnsiTheme="minorEastAsia" w:cs="Tahoma"/>
          <w:b/>
          <w:bCs/>
          <w:color w:val="C00000"/>
          <w:sz w:val="32"/>
          <w:szCs w:val="32"/>
          <w:lang w:eastAsia="zh-CN"/>
        </w:rPr>
      </w:pPr>
      <w:r w:rsidRPr="0055181F">
        <w:rPr>
          <w:rFonts w:asciiTheme="minorEastAsia" w:eastAsiaTheme="minorEastAsia" w:hAnsiTheme="minorEastAsia" w:cs="Microsoft YaHei" w:hint="eastAsia"/>
          <w:b/>
          <w:bCs/>
          <w:color w:val="C00000"/>
          <w:sz w:val="32"/>
          <w:szCs w:val="32"/>
          <w:lang w:eastAsia="zh-CN"/>
        </w:rPr>
        <w:t>可以通过什么方法继续保持对孩子的抚养权</w:t>
      </w:r>
      <w:r w:rsidRPr="0055181F">
        <w:rPr>
          <w:rFonts w:asciiTheme="minorEastAsia" w:eastAsiaTheme="minorEastAsia" w:hAnsiTheme="minorEastAsia" w:cs="Microsoft YaHei"/>
          <w:b/>
          <w:bCs/>
          <w:color w:val="C00000"/>
          <w:sz w:val="32"/>
          <w:szCs w:val="32"/>
          <w:lang w:eastAsia="zh-CN"/>
        </w:rPr>
        <w:t>？</w:t>
      </w:r>
    </w:p>
    <w:p w:rsidR="0055181F" w:rsidRPr="0055181F" w:rsidRDefault="0055181F" w:rsidP="0055181F">
      <w:pPr>
        <w:shd w:val="clear" w:color="auto" w:fill="FFFFFF"/>
        <w:bidi w:val="0"/>
        <w:spacing w:after="131" w:line="480" w:lineRule="auto"/>
        <w:jc w:val="both"/>
        <w:rPr>
          <w:rFonts w:asciiTheme="minorEastAsia" w:eastAsiaTheme="minorEastAsia" w:hAnsiTheme="minorEastAsia" w:cs="Tahoma"/>
          <w:color w:val="auto"/>
          <w:sz w:val="32"/>
          <w:szCs w:val="32"/>
          <w:lang w:eastAsia="zh-CN"/>
        </w:rPr>
      </w:pPr>
      <w:r>
        <w:rPr>
          <w:rFonts w:asciiTheme="minorEastAsia" w:eastAsiaTheme="minorEastAsia" w:hAnsiTheme="minorEastAsia" w:cs="Microsoft YaHei" w:hint="eastAsia"/>
          <w:color w:val="auto"/>
          <w:sz w:val="32"/>
          <w:szCs w:val="32"/>
          <w:lang w:eastAsia="zh-CN"/>
        </w:rPr>
        <w:t>答：</w:t>
      </w:r>
      <w:r w:rsidRPr="0055181F">
        <w:rPr>
          <w:rFonts w:asciiTheme="minorEastAsia" w:eastAsiaTheme="minorEastAsia" w:hAnsiTheme="minorEastAsia" w:cs="Microsoft YaHei" w:hint="eastAsia"/>
          <w:color w:val="auto"/>
          <w:sz w:val="32"/>
          <w:szCs w:val="32"/>
          <w:lang w:eastAsia="zh-CN"/>
        </w:rPr>
        <w:t>一切赞颂，全归真主</w:t>
      </w:r>
      <w:r w:rsidRPr="0055181F">
        <w:rPr>
          <w:rFonts w:asciiTheme="minorEastAsia" w:eastAsiaTheme="minorEastAsia" w:hAnsiTheme="minorEastAsia" w:cs="Microsoft YaHei"/>
          <w:color w:val="auto"/>
          <w:sz w:val="32"/>
          <w:szCs w:val="32"/>
          <w:lang w:eastAsia="zh-CN"/>
        </w:rPr>
        <w:t>。</w:t>
      </w:r>
    </w:p>
    <w:p w:rsidR="0055181F" w:rsidRPr="0055181F" w:rsidRDefault="0055181F" w:rsidP="0055181F">
      <w:pPr>
        <w:shd w:val="clear" w:color="auto" w:fill="FFFFFF"/>
        <w:bidi w:val="0"/>
        <w:spacing w:after="131" w:line="480" w:lineRule="auto"/>
        <w:jc w:val="both"/>
        <w:rPr>
          <w:rFonts w:asciiTheme="minorEastAsia" w:eastAsiaTheme="minorEastAsia" w:hAnsiTheme="minorEastAsia" w:cs="Tahoma"/>
          <w:color w:val="auto"/>
          <w:sz w:val="32"/>
          <w:szCs w:val="32"/>
          <w:lang w:eastAsia="zh-CN"/>
        </w:rPr>
      </w:pPr>
      <w:r>
        <w:rPr>
          <w:rFonts w:asciiTheme="minorEastAsia" w:eastAsiaTheme="minorEastAsia" w:hAnsiTheme="minorEastAsia" w:cs="Microsoft YaHei" w:hint="eastAsia"/>
          <w:color w:val="auto"/>
          <w:sz w:val="32"/>
          <w:szCs w:val="32"/>
          <w:lang w:eastAsia="zh-CN"/>
        </w:rPr>
        <w:t xml:space="preserve">    </w:t>
      </w:r>
      <w:r w:rsidRPr="0055181F">
        <w:rPr>
          <w:rFonts w:asciiTheme="minorEastAsia" w:eastAsiaTheme="minorEastAsia" w:hAnsiTheme="minorEastAsia" w:cs="Microsoft YaHei" w:hint="eastAsia"/>
          <w:color w:val="auto"/>
          <w:sz w:val="32"/>
          <w:szCs w:val="32"/>
          <w:lang w:eastAsia="zh-CN"/>
        </w:rPr>
        <w:t>如果孩子没有达到懂事的年龄，只要母亲没有再婚，那么，母亲比父亲更应该获得孩子的抚养权；如果母亲再婚，那么，孩子必须要回到父亲的身边；如果孩子已经达到了懂事的年龄，就让孩子自己在父母之间进行选择</w:t>
      </w:r>
      <w:r w:rsidRPr="0055181F">
        <w:rPr>
          <w:rFonts w:asciiTheme="minorEastAsia" w:eastAsiaTheme="minorEastAsia" w:hAnsiTheme="minorEastAsia" w:cs="Microsoft YaHei"/>
          <w:color w:val="auto"/>
          <w:sz w:val="32"/>
          <w:szCs w:val="32"/>
          <w:lang w:eastAsia="zh-CN"/>
        </w:rPr>
        <w:t>。</w:t>
      </w:r>
    </w:p>
    <w:p w:rsidR="0055181F" w:rsidRPr="0055181F" w:rsidRDefault="0055181F" w:rsidP="0055181F">
      <w:pPr>
        <w:shd w:val="clear" w:color="auto" w:fill="FFFFFF"/>
        <w:bidi w:val="0"/>
        <w:spacing w:after="131" w:line="480" w:lineRule="auto"/>
        <w:jc w:val="both"/>
        <w:rPr>
          <w:rFonts w:asciiTheme="minorEastAsia" w:eastAsiaTheme="minorEastAsia" w:hAnsiTheme="minorEastAsia" w:cs="Tahoma"/>
          <w:color w:val="auto"/>
          <w:sz w:val="32"/>
          <w:szCs w:val="32"/>
          <w:lang w:eastAsia="zh-CN"/>
        </w:rPr>
      </w:pPr>
      <w:r>
        <w:rPr>
          <w:rFonts w:asciiTheme="minorEastAsia" w:eastAsiaTheme="minorEastAsia" w:hAnsiTheme="minorEastAsia" w:cs="Microsoft YaHei" w:hint="eastAsia"/>
          <w:color w:val="auto"/>
          <w:sz w:val="32"/>
          <w:szCs w:val="32"/>
          <w:lang w:eastAsia="zh-CN"/>
        </w:rPr>
        <w:t xml:space="preserve">    </w:t>
      </w:r>
      <w:r w:rsidRPr="0055181F">
        <w:rPr>
          <w:rFonts w:asciiTheme="minorEastAsia" w:eastAsiaTheme="minorEastAsia" w:hAnsiTheme="minorEastAsia" w:cs="Microsoft YaHei" w:hint="eastAsia"/>
          <w:color w:val="auto"/>
          <w:sz w:val="32"/>
          <w:szCs w:val="32"/>
          <w:lang w:eastAsia="zh-CN"/>
        </w:rPr>
        <w:t>这是在父亲和母亲的宗教和公正程度一模一样的情况下的规定，如果父母之一不注重教育孩子，而且宗教信仰淡薄，则不能让他获得孩子的抚养权，因为被抚养者的利益才是关键所在，而疏忽孩子权利的人不会照顾孩子的利益，许</w:t>
      </w:r>
      <w:r w:rsidRPr="0055181F">
        <w:rPr>
          <w:rFonts w:asciiTheme="minorEastAsia" w:eastAsiaTheme="minorEastAsia" w:hAnsiTheme="minorEastAsia" w:cs="Microsoft YaHei" w:hint="eastAsia"/>
          <w:color w:val="auto"/>
          <w:sz w:val="32"/>
          <w:szCs w:val="32"/>
          <w:lang w:eastAsia="zh-CN"/>
        </w:rPr>
        <w:lastRenderedPageBreak/>
        <w:t>多圣训都说明了这一点，实事求是的学者们也做出了类似的法太瓦（教法律列）</w:t>
      </w:r>
      <w:r w:rsidRPr="0055181F">
        <w:rPr>
          <w:rFonts w:asciiTheme="minorEastAsia" w:eastAsiaTheme="minorEastAsia" w:hAnsiTheme="minorEastAsia" w:cs="Microsoft YaHei"/>
          <w:color w:val="auto"/>
          <w:sz w:val="32"/>
          <w:szCs w:val="32"/>
          <w:lang w:eastAsia="zh-CN"/>
        </w:rPr>
        <w:t>。</w:t>
      </w:r>
    </w:p>
    <w:p w:rsidR="0055181F" w:rsidRPr="0055181F" w:rsidRDefault="0055181F" w:rsidP="0055181F">
      <w:pPr>
        <w:shd w:val="clear" w:color="auto" w:fill="FFFFFF"/>
        <w:bidi w:val="0"/>
        <w:spacing w:after="131" w:line="480" w:lineRule="auto"/>
        <w:jc w:val="both"/>
        <w:rPr>
          <w:rFonts w:asciiTheme="minorEastAsia" w:eastAsiaTheme="minorEastAsia" w:hAnsiTheme="minorEastAsia" w:cs="Tahoma"/>
          <w:color w:val="auto"/>
          <w:sz w:val="32"/>
          <w:szCs w:val="32"/>
          <w:lang w:eastAsia="zh-CN"/>
        </w:rPr>
      </w:pPr>
      <w:r>
        <w:rPr>
          <w:rFonts w:asciiTheme="minorEastAsia" w:eastAsiaTheme="minorEastAsia" w:hAnsiTheme="minorEastAsia" w:cs="Microsoft YaHei" w:hint="eastAsia"/>
          <w:color w:val="auto"/>
          <w:sz w:val="32"/>
          <w:szCs w:val="32"/>
          <w:lang w:eastAsia="zh-CN"/>
        </w:rPr>
        <w:t xml:space="preserve">    </w:t>
      </w:r>
      <w:r w:rsidRPr="0055181F">
        <w:rPr>
          <w:rFonts w:asciiTheme="minorEastAsia" w:eastAsiaTheme="minorEastAsia" w:hAnsiTheme="minorEastAsia" w:cs="Microsoft YaHei" w:hint="eastAsia"/>
          <w:color w:val="auto"/>
          <w:sz w:val="32"/>
          <w:szCs w:val="32"/>
          <w:lang w:eastAsia="zh-CN"/>
        </w:rPr>
        <w:t>阿卜杜拉</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本</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阿穆尔（愿主喜悦之）传述：真主的使者（愿主福安之）对一位要求获得孩子抚养权的母亲说：</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只要你没有再婚，你最应该获得孩子的抚养权。</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《艾布</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达伍德圣训实录》（</w:t>
      </w:r>
      <w:r w:rsidRPr="0055181F">
        <w:rPr>
          <w:rFonts w:asciiTheme="minorEastAsia" w:eastAsiaTheme="minorEastAsia" w:hAnsiTheme="minorEastAsia" w:cs="Tahoma"/>
          <w:color w:val="auto"/>
          <w:sz w:val="32"/>
          <w:szCs w:val="32"/>
          <w:lang w:eastAsia="zh-CN"/>
        </w:rPr>
        <w:t>2267</w:t>
      </w:r>
      <w:r w:rsidRPr="0055181F">
        <w:rPr>
          <w:rFonts w:asciiTheme="minorEastAsia" w:eastAsiaTheme="minorEastAsia" w:hAnsiTheme="minorEastAsia" w:cs="Microsoft YaHei" w:hint="eastAsia"/>
          <w:color w:val="auto"/>
          <w:sz w:val="32"/>
          <w:szCs w:val="32"/>
          <w:lang w:eastAsia="zh-CN"/>
        </w:rPr>
        <w:t>段）辑录，谢赫艾利巴尼在《正确的系列圣训》（</w:t>
      </w:r>
      <w:r w:rsidRPr="0055181F">
        <w:rPr>
          <w:rFonts w:asciiTheme="minorEastAsia" w:eastAsiaTheme="minorEastAsia" w:hAnsiTheme="minorEastAsia" w:cs="Tahoma"/>
          <w:color w:val="auto"/>
          <w:sz w:val="32"/>
          <w:szCs w:val="32"/>
          <w:lang w:eastAsia="zh-CN"/>
        </w:rPr>
        <w:t>368</w:t>
      </w:r>
      <w:r w:rsidRPr="0055181F">
        <w:rPr>
          <w:rFonts w:asciiTheme="minorEastAsia" w:eastAsiaTheme="minorEastAsia" w:hAnsiTheme="minorEastAsia" w:cs="Microsoft YaHei" w:hint="eastAsia"/>
          <w:color w:val="auto"/>
          <w:sz w:val="32"/>
          <w:szCs w:val="32"/>
          <w:lang w:eastAsia="zh-CN"/>
        </w:rPr>
        <w:t>段）中认为这是正确的圣训</w:t>
      </w:r>
      <w:r w:rsidRPr="0055181F">
        <w:rPr>
          <w:rFonts w:asciiTheme="minorEastAsia" w:eastAsiaTheme="minorEastAsia" w:hAnsiTheme="minorEastAsia" w:cs="Microsoft YaHei"/>
          <w:color w:val="auto"/>
          <w:sz w:val="32"/>
          <w:szCs w:val="32"/>
          <w:lang w:eastAsia="zh-CN"/>
        </w:rPr>
        <w:t>。</w:t>
      </w:r>
    </w:p>
    <w:p w:rsidR="0055181F" w:rsidRPr="0055181F" w:rsidRDefault="0055181F" w:rsidP="0055181F">
      <w:pPr>
        <w:shd w:val="clear" w:color="auto" w:fill="FFFFFF"/>
        <w:bidi w:val="0"/>
        <w:spacing w:after="131" w:line="480" w:lineRule="auto"/>
        <w:jc w:val="both"/>
        <w:rPr>
          <w:rFonts w:asciiTheme="minorEastAsia" w:eastAsiaTheme="minorEastAsia" w:hAnsiTheme="minorEastAsia" w:cs="Tahoma"/>
          <w:color w:val="auto"/>
          <w:sz w:val="32"/>
          <w:szCs w:val="32"/>
          <w:lang w:eastAsia="zh-CN"/>
        </w:rPr>
      </w:pPr>
      <w:r>
        <w:rPr>
          <w:rFonts w:asciiTheme="minorEastAsia" w:eastAsiaTheme="minorEastAsia" w:hAnsiTheme="minorEastAsia" w:cs="Microsoft YaHei" w:hint="eastAsia"/>
          <w:color w:val="auto"/>
          <w:sz w:val="32"/>
          <w:szCs w:val="32"/>
          <w:lang w:eastAsia="zh-CN"/>
        </w:rPr>
        <w:t xml:space="preserve">    </w:t>
      </w:r>
      <w:r w:rsidRPr="0055181F">
        <w:rPr>
          <w:rFonts w:asciiTheme="minorEastAsia" w:eastAsiaTheme="minorEastAsia" w:hAnsiTheme="minorEastAsia" w:cs="Microsoft YaHei" w:hint="eastAsia"/>
          <w:color w:val="auto"/>
          <w:sz w:val="32"/>
          <w:szCs w:val="32"/>
          <w:lang w:eastAsia="zh-CN"/>
        </w:rPr>
        <w:t>伊本</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甘伊姆（愿主怜悯之）说：</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我听到我们的谢赫伊本</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泰米业（愿主怜悯之）说：父母两人在法官面前争夺孩子的抚养权，法官让孩子自己选择，最后孩子选择了父亲；然后母亲对法官说：你问一问孩子为什么要选择父亲？法官就问孩子，孩子说：母亲每天让我去清真寺的私塾学习，而教授伊斯兰教法的老师经常打我；父亲让我和其他的孩子们一起玩耍。于是法官判决母亲获得孩子的抚养权，并且对母亲说：你更应该获得孩子的抚养权。我们的谢赫说：如果父母之一放弃了对孩子的教育以及真主责成父母必须要履行的命令，那么他就是违抗真主命令的人，所以他不能获得对</w:t>
      </w:r>
      <w:r w:rsidRPr="0055181F">
        <w:rPr>
          <w:rFonts w:asciiTheme="minorEastAsia" w:eastAsiaTheme="minorEastAsia" w:hAnsiTheme="minorEastAsia" w:cs="Microsoft YaHei" w:hint="eastAsia"/>
          <w:color w:val="auto"/>
          <w:sz w:val="32"/>
          <w:szCs w:val="32"/>
          <w:lang w:eastAsia="zh-CN"/>
        </w:rPr>
        <w:lastRenderedPageBreak/>
        <w:t>孩子的监护权，而且凡是没有履行监护孩子的义务的人，都不能获得对孩子的监护权，要么让他放弃监护权，而让能够履行义务的人取而代之；要么让他和能够履行义务的人一起监护孩子，因为其宗旨就是根据自己的能力服从真主和使者（愿主福安之）。他说：假设父亲娶了一个妻子，而她不照顾女儿的利益，也不履行自己的责任，而女孩的亲身母亲能够照顾女儿的利益，那么女孩的监护权绝对属于她的亲身母亲。他说：必须要知道的就是：立法者并没有明文规定父母之一必须要绝对提前，也没有规定孩子必须要在父母之间绝对选择，学者们一致认为父母之一不是绝对确定的，但是不能让侵犯权利和敷衍了事的坏人优先于行善公正的好人。真主至知！</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《归途粮秣》</w:t>
      </w:r>
      <w:r w:rsidRPr="0055181F">
        <w:rPr>
          <w:rFonts w:asciiTheme="minorEastAsia" w:eastAsiaTheme="minorEastAsia" w:hAnsiTheme="minorEastAsia" w:cs="Tahoma"/>
          <w:color w:val="auto"/>
          <w:sz w:val="32"/>
          <w:szCs w:val="32"/>
          <w:lang w:eastAsia="zh-CN"/>
        </w:rPr>
        <w:t>( 5 / 475</w:t>
      </w:r>
      <w:r w:rsidRPr="0055181F">
        <w:rPr>
          <w:rFonts w:asciiTheme="minorEastAsia" w:eastAsiaTheme="minorEastAsia" w:hAnsiTheme="minorEastAsia" w:cs="Tahoma"/>
          <w:color w:val="auto"/>
          <w:sz w:val="32"/>
          <w:szCs w:val="32"/>
          <w:rtl/>
        </w:rPr>
        <w:t xml:space="preserve"> ، </w:t>
      </w:r>
      <w:r w:rsidRPr="0055181F">
        <w:rPr>
          <w:rFonts w:asciiTheme="minorEastAsia" w:eastAsiaTheme="minorEastAsia" w:hAnsiTheme="minorEastAsia" w:cs="Tahoma"/>
          <w:color w:val="auto"/>
          <w:sz w:val="32"/>
          <w:szCs w:val="32"/>
          <w:lang w:eastAsia="zh-CN"/>
        </w:rPr>
        <w:t xml:space="preserve">476 ) </w:t>
      </w:r>
      <w:r w:rsidRPr="0055181F">
        <w:rPr>
          <w:rFonts w:asciiTheme="minorEastAsia" w:eastAsiaTheme="minorEastAsia" w:hAnsiTheme="minorEastAsia" w:cs="Microsoft YaHei"/>
          <w:color w:val="auto"/>
          <w:sz w:val="32"/>
          <w:szCs w:val="32"/>
          <w:lang w:eastAsia="zh-CN"/>
        </w:rPr>
        <w:t>。</w:t>
      </w:r>
    </w:p>
    <w:p w:rsidR="0055181F" w:rsidRPr="0055181F" w:rsidRDefault="0055181F" w:rsidP="0055181F">
      <w:pPr>
        <w:shd w:val="clear" w:color="auto" w:fill="FFFFFF"/>
        <w:bidi w:val="0"/>
        <w:spacing w:after="131" w:line="480" w:lineRule="auto"/>
        <w:jc w:val="both"/>
        <w:rPr>
          <w:rFonts w:asciiTheme="minorEastAsia" w:eastAsiaTheme="minorEastAsia" w:hAnsiTheme="minorEastAsia" w:cs="Tahoma"/>
          <w:color w:val="auto"/>
          <w:sz w:val="32"/>
          <w:szCs w:val="32"/>
          <w:lang w:eastAsia="zh-CN"/>
        </w:rPr>
      </w:pPr>
      <w:r>
        <w:rPr>
          <w:rFonts w:asciiTheme="minorEastAsia" w:eastAsiaTheme="minorEastAsia" w:hAnsiTheme="minorEastAsia" w:cs="Microsoft YaHei" w:hint="eastAsia"/>
          <w:color w:val="auto"/>
          <w:sz w:val="32"/>
          <w:szCs w:val="32"/>
          <w:lang w:eastAsia="zh-CN"/>
        </w:rPr>
        <w:t xml:space="preserve">    </w:t>
      </w:r>
      <w:r w:rsidRPr="0055181F">
        <w:rPr>
          <w:rFonts w:asciiTheme="minorEastAsia" w:eastAsiaTheme="minorEastAsia" w:hAnsiTheme="minorEastAsia" w:cs="Microsoft YaHei" w:hint="eastAsia"/>
          <w:color w:val="auto"/>
          <w:sz w:val="32"/>
          <w:szCs w:val="32"/>
          <w:lang w:eastAsia="zh-CN"/>
        </w:rPr>
        <w:t>谢赫穆罕默德</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本</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易卜拉欣（愿主怜悯之）说：</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只要母亲没有再婚，小女孩的抚养权应该归母亲所有，或者在小女孩年满七岁的时候，其抚养权就归父亲所有，条件就是小女孩留在父亲身边而不会受到伤害；至于大女孩，则其抚养权归父亲所有，只要她留在父亲的身边而不会受到父亲其他妻子的伤害。</w:t>
      </w:r>
      <w:r w:rsidRPr="0055181F">
        <w:rPr>
          <w:rFonts w:asciiTheme="minorEastAsia" w:eastAsiaTheme="minorEastAsia" w:hAnsiTheme="minorEastAsia" w:cs="Tahoma"/>
          <w:color w:val="auto"/>
          <w:sz w:val="32"/>
          <w:szCs w:val="32"/>
          <w:lang w:eastAsia="zh-CN"/>
        </w:rPr>
        <w:t>”</w:t>
      </w:r>
      <w:r w:rsidRPr="0055181F">
        <w:rPr>
          <w:rFonts w:asciiTheme="minorEastAsia" w:eastAsiaTheme="minorEastAsia" w:hAnsiTheme="minorEastAsia" w:cs="Microsoft YaHei" w:hint="eastAsia"/>
          <w:color w:val="auto"/>
          <w:sz w:val="32"/>
          <w:szCs w:val="32"/>
          <w:lang w:eastAsia="zh-CN"/>
        </w:rPr>
        <w:t>《穆斯林妇女法太瓦》</w:t>
      </w:r>
      <w:r w:rsidRPr="0055181F">
        <w:rPr>
          <w:rFonts w:asciiTheme="minorEastAsia" w:eastAsiaTheme="minorEastAsia" w:hAnsiTheme="minorEastAsia" w:cs="Tahoma"/>
          <w:color w:val="auto"/>
          <w:sz w:val="32"/>
          <w:szCs w:val="32"/>
          <w:lang w:eastAsia="zh-CN"/>
        </w:rPr>
        <w:t xml:space="preserve">( 2 / 874 ) </w:t>
      </w:r>
      <w:r w:rsidRPr="0055181F">
        <w:rPr>
          <w:rFonts w:asciiTheme="minorEastAsia" w:eastAsiaTheme="minorEastAsia" w:hAnsiTheme="minorEastAsia" w:cs="Microsoft YaHei"/>
          <w:color w:val="auto"/>
          <w:sz w:val="32"/>
          <w:szCs w:val="32"/>
          <w:lang w:eastAsia="zh-CN"/>
        </w:rPr>
        <w:t>。</w:t>
      </w:r>
    </w:p>
    <w:p w:rsidR="0055181F" w:rsidRPr="0055181F" w:rsidRDefault="0055181F" w:rsidP="0055181F">
      <w:pPr>
        <w:shd w:val="clear" w:color="auto" w:fill="FFFFFF"/>
        <w:bidi w:val="0"/>
        <w:spacing w:after="131" w:line="480" w:lineRule="auto"/>
        <w:jc w:val="both"/>
        <w:rPr>
          <w:rFonts w:asciiTheme="minorEastAsia" w:eastAsiaTheme="minorEastAsia" w:hAnsiTheme="minorEastAsia" w:cs="Tahoma"/>
          <w:color w:val="auto"/>
          <w:sz w:val="32"/>
          <w:szCs w:val="32"/>
          <w:lang w:eastAsia="zh-CN"/>
        </w:rPr>
      </w:pPr>
      <w:r w:rsidRPr="0055181F">
        <w:rPr>
          <w:rFonts w:asciiTheme="minorEastAsia" w:eastAsiaTheme="minorEastAsia" w:hAnsiTheme="minorEastAsia" w:cs="Tahoma"/>
          <w:color w:val="auto"/>
          <w:sz w:val="32"/>
          <w:szCs w:val="32"/>
          <w:lang w:eastAsia="zh-CN"/>
        </w:rPr>
        <w:lastRenderedPageBreak/>
        <w:t> </w:t>
      </w:r>
      <w:r w:rsidRPr="0055181F">
        <w:rPr>
          <w:rFonts w:asciiTheme="minorEastAsia" w:eastAsiaTheme="minorEastAsia" w:hAnsiTheme="minorEastAsia" w:cs="Microsoft YaHei" w:hint="eastAsia"/>
          <w:color w:val="auto"/>
          <w:sz w:val="32"/>
          <w:szCs w:val="32"/>
          <w:lang w:eastAsia="zh-CN"/>
        </w:rPr>
        <w:t>真主至知</w:t>
      </w:r>
      <w:r w:rsidRPr="0055181F">
        <w:rPr>
          <w:rFonts w:asciiTheme="minorEastAsia" w:eastAsiaTheme="minorEastAsia" w:hAnsiTheme="minorEastAsia" w:cs="Microsoft YaHei"/>
          <w:color w:val="auto"/>
          <w:sz w:val="32"/>
          <w:szCs w:val="32"/>
          <w:lang w:eastAsia="zh-CN"/>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47" w:rsidRDefault="00587B47" w:rsidP="00EB6455">
      <w:r>
        <w:separator/>
      </w:r>
    </w:p>
  </w:endnote>
  <w:endnote w:type="continuationSeparator" w:id="0">
    <w:p w:rsidR="00587B47" w:rsidRDefault="00587B47"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18644F"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587B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18644F"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C6941">
      <w:rPr>
        <w:noProof/>
        <w:sz w:val="28"/>
        <w:szCs w:val="28"/>
      </w:rPr>
      <w:t>2</w:t>
    </w:r>
    <w:r w:rsidRPr="00923817">
      <w:rPr>
        <w:sz w:val="28"/>
        <w:szCs w:val="28"/>
      </w:rPr>
      <w:fldChar w:fldCharType="end"/>
    </w:r>
  </w:p>
  <w:p w:rsidR="005C5331" w:rsidRPr="00156EB3" w:rsidRDefault="00587B47"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47" w:rsidRDefault="00587B47" w:rsidP="00EB6455">
      <w:r>
        <w:separator/>
      </w:r>
    </w:p>
  </w:footnote>
  <w:footnote w:type="continuationSeparator" w:id="0">
    <w:p w:rsidR="00587B47" w:rsidRDefault="00587B47"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8644F"/>
    <w:rsid w:val="0019347C"/>
    <w:rsid w:val="001B6333"/>
    <w:rsid w:val="002350D4"/>
    <w:rsid w:val="00274430"/>
    <w:rsid w:val="002804F9"/>
    <w:rsid w:val="002A30C7"/>
    <w:rsid w:val="002C0CE0"/>
    <w:rsid w:val="0031151D"/>
    <w:rsid w:val="00352158"/>
    <w:rsid w:val="003B55D3"/>
    <w:rsid w:val="00442CC2"/>
    <w:rsid w:val="00462A59"/>
    <w:rsid w:val="00482F6F"/>
    <w:rsid w:val="004E1EA8"/>
    <w:rsid w:val="005056E6"/>
    <w:rsid w:val="0055181F"/>
    <w:rsid w:val="00587B47"/>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A77F89"/>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C6941"/>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739</Words>
  <Characters>814</Characters>
  <Application>Microsoft Office Word</Application>
  <DocSecurity>0</DocSecurity>
  <Lines>47</Lines>
  <Paragraphs>26</Paragraphs>
  <ScaleCrop>false</ScaleCrop>
  <Manager/>
  <Company>islamhouse.com</Company>
  <LinksUpToDate>false</LinksUpToDate>
  <CharactersWithSpaces>1527</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离婚的女人什么时候可以获得孩子的抚养权</dc:title>
  <dc:subject>离婚的女人什么时候可以获得孩子的抚养权</dc:subject>
  <dc:creator>伊斯兰问答网站_x000d_</dc:creator>
  <cp:keywords>离婚的女人什么时候可以获得孩子的抚养权</cp:keywords>
  <dc:description>离婚的女人什么时候可以获得孩子的抚养权</dc:description>
  <cp:lastModifiedBy>Al-Hashemy</cp:lastModifiedBy>
  <cp:revision>3</cp:revision>
  <dcterms:created xsi:type="dcterms:W3CDTF">2014-12-06T03:09:00Z</dcterms:created>
  <dcterms:modified xsi:type="dcterms:W3CDTF">2014-12-25T11:34:00Z</dcterms:modified>
  <cp:category/>
</cp:coreProperties>
</file>